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91B" w:rsidRDefault="0038091B" w:rsidP="0038091B">
      <w:pPr>
        <w:pStyle w:val="afa"/>
        <w:shd w:val="clear" w:color="auto" w:fill="FFFFFF"/>
        <w:spacing w:before="0" w:beforeAutospacing="0" w:after="0" w:afterAutospacing="0"/>
        <w:jc w:val="center"/>
        <w:rPr>
          <w:color w:val="333333"/>
        </w:rPr>
      </w:pPr>
      <w:r>
        <w:rPr>
          <w:rFonts w:hint="eastAsia"/>
          <w:b/>
          <w:bCs/>
          <w:color w:val="333333"/>
          <w:sz w:val="40"/>
          <w:szCs w:val="40"/>
          <w:bdr w:val="none" w:sz="0" w:space="0" w:color="auto" w:frame="1"/>
        </w:rPr>
        <w:t>公墓管理暂行办法</w:t>
      </w:r>
    </w:p>
    <w:p w:rsidR="0038091B" w:rsidRDefault="0038091B" w:rsidP="0038091B">
      <w:pPr>
        <w:pStyle w:val="afa"/>
        <w:shd w:val="clear" w:color="auto" w:fill="FFFFFF"/>
        <w:spacing w:before="0" w:beforeAutospacing="0" w:after="0" w:afterAutospacing="0"/>
        <w:jc w:val="center"/>
        <w:rPr>
          <w:rFonts w:hint="eastAsia"/>
          <w:color w:val="333333"/>
        </w:rPr>
      </w:pPr>
      <w:r>
        <w:rPr>
          <w:rFonts w:ascii="仿宋" w:eastAsia="仿宋" w:hAnsi="仿宋" w:hint="eastAsia"/>
          <w:color w:val="333333"/>
          <w:sz w:val="27"/>
          <w:szCs w:val="27"/>
          <w:bdr w:val="none" w:sz="0" w:space="0" w:color="auto" w:frame="1"/>
        </w:rPr>
        <w:t>(1992年8月25日民事发〔1992〕24号发布</w:t>
      </w:r>
      <w:r>
        <w:rPr>
          <w:rFonts w:hint="eastAsia"/>
          <w:color w:val="333333"/>
          <w:sz w:val="27"/>
          <w:szCs w:val="27"/>
          <w:bdr w:val="none" w:sz="0" w:space="0" w:color="auto" w:frame="1"/>
        </w:rPr>
        <w:t> </w:t>
      </w:r>
      <w:r>
        <w:rPr>
          <w:rFonts w:ascii="仿宋" w:eastAsia="仿宋" w:hAnsi="仿宋" w:cs="仿宋" w:hint="eastAsia"/>
          <w:color w:val="333333"/>
          <w:sz w:val="27"/>
          <w:szCs w:val="27"/>
          <w:bdr w:val="none" w:sz="0" w:space="0" w:color="auto" w:frame="1"/>
        </w:rPr>
        <w:t xml:space="preserve"> </w:t>
      </w:r>
      <w:r>
        <w:rPr>
          <w:rFonts w:ascii="仿宋" w:eastAsia="仿宋" w:hAnsi="仿宋" w:hint="eastAsia"/>
          <w:color w:val="333333"/>
          <w:sz w:val="27"/>
          <w:szCs w:val="27"/>
          <w:bdr w:val="none" w:sz="0" w:space="0" w:color="auto" w:frame="1"/>
        </w:rPr>
        <w:t>自发布之日起施行)</w:t>
      </w:r>
    </w:p>
    <w:p w:rsidR="0038091B" w:rsidRDefault="0038091B" w:rsidP="0038091B">
      <w:pPr>
        <w:pStyle w:val="afa"/>
        <w:shd w:val="clear" w:color="auto" w:fill="FFFFFF"/>
        <w:spacing w:before="0" w:beforeAutospacing="0" w:after="0" w:afterAutospacing="0"/>
        <w:jc w:val="center"/>
        <w:rPr>
          <w:rFonts w:hint="eastAsia"/>
          <w:color w:val="333333"/>
        </w:rPr>
      </w:pPr>
      <w:r>
        <w:rPr>
          <w:rFonts w:ascii="仿宋" w:eastAsia="仿宋" w:hAnsi="仿宋" w:hint="eastAsia"/>
          <w:color w:val="333333"/>
          <w:sz w:val="27"/>
          <w:szCs w:val="27"/>
          <w:bdr w:val="none" w:sz="0" w:space="0" w:color="auto" w:frame="1"/>
        </w:rPr>
        <w:br/>
      </w:r>
    </w:p>
    <w:p w:rsidR="0038091B" w:rsidRDefault="0038091B" w:rsidP="0038091B">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第一章</w:t>
      </w:r>
      <w:r>
        <w:rPr>
          <w:rFonts w:hint="eastAsia"/>
          <w:color w:val="333333"/>
          <w:sz w:val="28"/>
          <w:szCs w:val="28"/>
          <w:bdr w:val="none" w:sz="0" w:space="0" w:color="auto" w:frame="1"/>
        </w:rPr>
        <w:t> </w:t>
      </w:r>
      <w:r>
        <w:rPr>
          <w:rFonts w:ascii="黑体" w:eastAsia="黑体" w:hAnsi="黑体" w:hint="eastAsia"/>
          <w:color w:val="333333"/>
          <w:sz w:val="28"/>
          <w:szCs w:val="28"/>
          <w:bdr w:val="none" w:sz="0" w:space="0" w:color="auto" w:frame="1"/>
        </w:rPr>
        <w:t>总 则</w:t>
      </w:r>
    </w:p>
    <w:p w:rsidR="0038091B" w:rsidRDefault="0038091B" w:rsidP="0038091B">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br/>
      </w:r>
    </w:p>
    <w:p w:rsidR="0038091B" w:rsidRDefault="0038091B" w:rsidP="0038091B">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第一条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为加强公墓管理，根据《国务院关于殡葬管理的暂行规定》和有关规定制定本办法。</w:t>
      </w:r>
    </w:p>
    <w:p w:rsidR="0038091B" w:rsidRDefault="0038091B" w:rsidP="0038091B">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在火葬区，要提倡骨灰深埋、撒放等一次性处理，也可经批准有计划地建立骨灰公墓。在土葬改革区，应有计划地建立遗体公墓或骨灰公墓。</w:t>
      </w:r>
    </w:p>
    <w:p w:rsidR="0038091B" w:rsidRDefault="0038091B" w:rsidP="0038091B">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公墓是为城乡居民提供安葬骨灰和遗体的公共设施。公墓分为公益性公墓和经营性公墓。公益性公墓是为农村村民提供遗体或骨灰安葬服务的公共墓地。经营性公墓是为城镇居民提供骨灰或遗体安葬实行有偿服务的公共墓地，属于第三产业。</w:t>
      </w:r>
    </w:p>
    <w:p w:rsidR="0038091B" w:rsidRDefault="0038091B" w:rsidP="0038091B">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第四条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建立公墓应当选用荒山瘠地，不得占用耕地，不得建在风景名胜区和水库、湖泊、河流的堤坝以及铁路、公路两侧。</w:t>
      </w:r>
    </w:p>
    <w:p w:rsidR="0038091B" w:rsidRDefault="0038091B" w:rsidP="0038091B">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第五条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公益性公墓由村民委员会建立。经营性公墓由殡葬事业单位建立。</w:t>
      </w:r>
    </w:p>
    <w:p w:rsidR="0038091B" w:rsidRDefault="0038091B" w:rsidP="0038091B">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第六条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民政部是全国公墓的主管部门，负责制定公墓建设的政策法规和总体规划，进行宏观指导。县级以上各级民政部门是本行政区域内的公墓主管部门，负责贯彻执行国家公墓政策法规，对本行政区域内的公墓建设和发展进行具体指导。</w:t>
      </w:r>
    </w:p>
    <w:p w:rsidR="0038091B" w:rsidRDefault="0038091B" w:rsidP="0038091B">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br/>
      </w:r>
    </w:p>
    <w:p w:rsidR="0038091B" w:rsidRDefault="0038091B" w:rsidP="0038091B">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第二章</w:t>
      </w:r>
      <w:r>
        <w:rPr>
          <w:rFonts w:hint="eastAsia"/>
          <w:color w:val="333333"/>
          <w:sz w:val="28"/>
          <w:szCs w:val="28"/>
          <w:bdr w:val="none" w:sz="0" w:space="0" w:color="auto" w:frame="1"/>
        </w:rPr>
        <w:t> </w:t>
      </w:r>
      <w:r>
        <w:rPr>
          <w:rFonts w:ascii="黑体" w:eastAsia="黑体" w:hAnsi="黑体" w:hint="eastAsia"/>
          <w:color w:val="333333"/>
          <w:sz w:val="28"/>
          <w:szCs w:val="28"/>
          <w:bdr w:val="none" w:sz="0" w:space="0" w:color="auto" w:frame="1"/>
        </w:rPr>
        <w:t>公墓的建立</w:t>
      </w:r>
    </w:p>
    <w:p w:rsidR="0038091B" w:rsidRDefault="0038091B" w:rsidP="0038091B">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br/>
      </w:r>
    </w:p>
    <w:p w:rsidR="0038091B" w:rsidRDefault="0038091B" w:rsidP="0038091B">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第七条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建立公墓，需向公墓主管部门提出申请。</w:t>
      </w:r>
    </w:p>
    <w:p w:rsidR="0038091B" w:rsidRDefault="0038091B" w:rsidP="0038091B">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lastRenderedPageBreak/>
        <w:t>第八条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申请时，应向公墓主管部门提交下列材料：</w:t>
      </w:r>
    </w:p>
    <w:p w:rsidR="0038091B" w:rsidRDefault="0038091B" w:rsidP="0038091B">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w:t>
      </w:r>
      <w:proofErr w:type="gramStart"/>
      <w:r>
        <w:rPr>
          <w:rFonts w:ascii="仿宋" w:eastAsia="仿宋" w:hAnsi="仿宋" w:hint="eastAsia"/>
          <w:color w:val="333333"/>
          <w:sz w:val="28"/>
          <w:szCs w:val="28"/>
          <w:bdr w:val="none" w:sz="0" w:space="0" w:color="auto" w:frame="1"/>
        </w:rPr>
        <w:t>一</w:t>
      </w:r>
      <w:proofErr w:type="gramEnd"/>
      <w:r>
        <w:rPr>
          <w:rFonts w:ascii="仿宋" w:eastAsia="仿宋" w:hAnsi="仿宋" w:hint="eastAsia"/>
          <w:color w:val="333333"/>
          <w:sz w:val="28"/>
          <w:szCs w:val="28"/>
          <w:bdr w:val="none" w:sz="0" w:space="0" w:color="auto" w:frame="1"/>
        </w:rPr>
        <w:t>)建立公墓的申请报告；</w:t>
      </w:r>
    </w:p>
    <w:p w:rsidR="0038091B" w:rsidRDefault="0038091B" w:rsidP="0038091B">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(二)城乡建设、土地管理部门的审查意见；</w:t>
      </w:r>
    </w:p>
    <w:p w:rsidR="0038091B" w:rsidRDefault="0038091B" w:rsidP="0038091B">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(三)建立公墓的可行性报告；</w:t>
      </w:r>
    </w:p>
    <w:p w:rsidR="0038091B" w:rsidRDefault="0038091B" w:rsidP="0038091B">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(四)其他有关材料。</w:t>
      </w:r>
    </w:p>
    <w:p w:rsidR="0038091B" w:rsidRDefault="0038091B" w:rsidP="0038091B">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第九条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建立公益性公墓，由村民委员会提出申请，报县级民政部门批准。</w:t>
      </w:r>
    </w:p>
    <w:p w:rsidR="0038091B" w:rsidRDefault="0038091B" w:rsidP="0038091B">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建立经营性公墓，由建墓单位向县级民政部门提出申请，经同级人民政府审核同意，报省、自治区、直辖市民政厅(局)批准。</w:t>
      </w:r>
    </w:p>
    <w:p w:rsidR="0038091B" w:rsidRDefault="0038091B" w:rsidP="0038091B">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第十一条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与外国、港澳台人士合作、合资或利用外资建立经营性公墓，经同级人民政府和省、自治区、直辖市民政厅(局)审核同意，报民政部批准。</w:t>
      </w:r>
    </w:p>
    <w:p w:rsidR="0038091B" w:rsidRDefault="0038091B" w:rsidP="0038091B">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第十二条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经营性公墓，由建墓单位持批准文件，向当地工商行政管理部门领取营业执照，方可正式营业。</w:t>
      </w:r>
    </w:p>
    <w:p w:rsidR="0038091B" w:rsidRDefault="0038091B" w:rsidP="0038091B">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br/>
      </w:r>
    </w:p>
    <w:p w:rsidR="0038091B" w:rsidRDefault="0038091B" w:rsidP="0038091B">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第三章</w:t>
      </w:r>
      <w:r>
        <w:rPr>
          <w:rFonts w:hint="eastAsia"/>
          <w:color w:val="333333"/>
          <w:sz w:val="28"/>
          <w:szCs w:val="28"/>
          <w:bdr w:val="none" w:sz="0" w:space="0" w:color="auto" w:frame="1"/>
        </w:rPr>
        <w:t> </w:t>
      </w:r>
      <w:r>
        <w:rPr>
          <w:rFonts w:ascii="黑体" w:eastAsia="黑体" w:hAnsi="黑体" w:hint="eastAsia"/>
          <w:color w:val="333333"/>
          <w:sz w:val="28"/>
          <w:szCs w:val="28"/>
          <w:bdr w:val="none" w:sz="0" w:space="0" w:color="auto" w:frame="1"/>
        </w:rPr>
        <w:t>公墓的管理</w:t>
      </w:r>
    </w:p>
    <w:p w:rsidR="0038091B" w:rsidRDefault="0038091B" w:rsidP="0038091B">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br/>
      </w:r>
    </w:p>
    <w:p w:rsidR="0038091B" w:rsidRDefault="0038091B" w:rsidP="0038091B">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第十三条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公墓墓区土地所有权依法归国家或集体所有，丧主不得自行转让或买卖。</w:t>
      </w:r>
    </w:p>
    <w:p w:rsidR="0038091B" w:rsidRDefault="0038091B" w:rsidP="0038091B">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第十四条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公墓单位应视墓区范围的大小设置公墓管理机构或聘用专职管理人员，负责墓地的建设、管理和维护。</w:t>
      </w:r>
    </w:p>
    <w:p w:rsidR="0038091B" w:rsidRDefault="0038091B" w:rsidP="0038091B">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墓地应当保持整洁、肃穆。</w:t>
      </w:r>
    </w:p>
    <w:p w:rsidR="0038091B" w:rsidRDefault="0038091B" w:rsidP="0038091B">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第十五条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公墓墓志要小型多样，墓区要合理规划，因地制宜进行绿化美化，逐步实行园林化。</w:t>
      </w:r>
    </w:p>
    <w:p w:rsidR="0038091B" w:rsidRDefault="0038091B" w:rsidP="0038091B">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第十六条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未经批准，公益性公墓不得对外经营殡仪业务。经营性公墓的墓穴管理费一次性收取最长不得超过二十年。墓穴用地要节约。</w:t>
      </w:r>
    </w:p>
    <w:p w:rsidR="0038091B" w:rsidRDefault="0038091B" w:rsidP="0038091B">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lastRenderedPageBreak/>
        <w:t>第十七条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凡在经营性公墓内安葬骨灰或遗体的，丧主应按规定交纳墓穴租用费、建墓工料费、安葬费和护墓管理费。</w:t>
      </w:r>
    </w:p>
    <w:p w:rsidR="0038091B" w:rsidRDefault="0038091B" w:rsidP="0038091B">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第十八条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严禁在公墓内建家族、宗族、活人坟和搞封建迷信活动。</w:t>
      </w:r>
    </w:p>
    <w:p w:rsidR="0038091B" w:rsidRDefault="0038091B" w:rsidP="0038091B">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第十九条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严禁在土葬改革区经营</w:t>
      </w:r>
      <w:proofErr w:type="gramStart"/>
      <w:r>
        <w:rPr>
          <w:rFonts w:ascii="仿宋" w:eastAsia="仿宋" w:hAnsi="仿宋" w:hint="eastAsia"/>
          <w:color w:val="333333"/>
          <w:sz w:val="28"/>
          <w:szCs w:val="28"/>
          <w:bdr w:val="none" w:sz="0" w:space="0" w:color="auto" w:frame="1"/>
        </w:rPr>
        <w:t>火化区死亡</w:t>
      </w:r>
      <w:proofErr w:type="gramEnd"/>
      <w:r>
        <w:rPr>
          <w:rFonts w:ascii="仿宋" w:eastAsia="仿宋" w:hAnsi="仿宋" w:hint="eastAsia"/>
          <w:color w:val="333333"/>
          <w:sz w:val="28"/>
          <w:szCs w:val="28"/>
          <w:bdr w:val="none" w:sz="0" w:space="0" w:color="auto" w:frame="1"/>
        </w:rPr>
        <w:t>人员的遗体安葬业务。</w:t>
      </w:r>
    </w:p>
    <w:p w:rsidR="0038091B" w:rsidRDefault="0038091B" w:rsidP="0038091B">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本办法实施后，凡违反本办法有关规定，由公墓主管部门区别情况，予以处罚，或没收其非法所得，或处以罚款。具体处罚办法，由各省、自治区、直辖市民政厅(局)制定。</w:t>
      </w:r>
    </w:p>
    <w:p w:rsidR="0038091B" w:rsidRDefault="0038091B" w:rsidP="0038091B">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br/>
      </w:r>
    </w:p>
    <w:p w:rsidR="0038091B" w:rsidRDefault="0038091B" w:rsidP="0038091B">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第四章</w:t>
      </w:r>
      <w:r>
        <w:rPr>
          <w:rFonts w:hint="eastAsia"/>
          <w:color w:val="333333"/>
          <w:sz w:val="28"/>
          <w:szCs w:val="28"/>
          <w:bdr w:val="none" w:sz="0" w:space="0" w:color="auto" w:frame="1"/>
        </w:rPr>
        <w:t> </w:t>
      </w:r>
      <w:r>
        <w:rPr>
          <w:rFonts w:ascii="黑体" w:eastAsia="黑体" w:hAnsi="黑体" w:hint="eastAsia"/>
          <w:color w:val="333333"/>
          <w:sz w:val="28"/>
          <w:szCs w:val="28"/>
          <w:bdr w:val="none" w:sz="0" w:space="0" w:color="auto" w:frame="1"/>
        </w:rPr>
        <w:t>附 则</w:t>
      </w:r>
    </w:p>
    <w:p w:rsidR="0038091B" w:rsidRDefault="0038091B" w:rsidP="0038091B">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br/>
      </w:r>
    </w:p>
    <w:p w:rsidR="0038091B" w:rsidRDefault="0038091B" w:rsidP="0038091B">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第二十一条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本办法实施前建立的各类公墓，凡符合本办法有关规定但未办理审批手续的，应按本办法第二章的规定补办审批手续；不符合本办法规定的，由公墓单位报公墓主管部门，根据不同情况妥善处理；对城市现有的墓地、坟岗，除另有法律法规规定外，一律由当地殡葬事业单位负责接管和改造。</w:t>
      </w:r>
    </w:p>
    <w:p w:rsidR="0038091B" w:rsidRDefault="0038091B" w:rsidP="0038091B">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第二十二条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革命烈士公墓、知名人士墓、华侨祖墓、具有历史艺术科学价值的古墓和回民公墓以及外国人在华墓地的管理，按原有规定执行。</w:t>
      </w:r>
    </w:p>
    <w:p w:rsidR="0038091B" w:rsidRDefault="0038091B" w:rsidP="0038091B">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第二十三条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各省、自治区、直辖市可根据本办法制定本地区的实施细则。</w:t>
      </w:r>
    </w:p>
    <w:p w:rsidR="0038091B" w:rsidRDefault="0038091B" w:rsidP="0038091B">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第二十四条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本办法自发布之日起实行。原内务部、民政部过去有关公墓管理的规定，凡与本办法有抵触的，均按本办法执行。</w:t>
      </w:r>
    </w:p>
    <w:p w:rsidR="003B2256" w:rsidRPr="0038091B" w:rsidRDefault="003B2256" w:rsidP="0038091B"/>
    <w:sectPr w:rsidR="003B2256" w:rsidRPr="0038091B"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78C4" w:rsidRDefault="00CC78C4" w:rsidP="003B2256">
      <w:r>
        <w:separator/>
      </w:r>
    </w:p>
  </w:endnote>
  <w:endnote w:type="continuationSeparator" w:id="0">
    <w:p w:rsidR="00CC78C4" w:rsidRDefault="00CC78C4"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113765">
    <w:pPr>
      <w:tabs>
        <w:tab w:val="center" w:pos="4153"/>
        <w:tab w:val="right" w:pos="8306"/>
      </w:tabs>
      <w:rPr>
        <w:rFonts w:ascii="宋体" w:hAnsi="宋体" w:cs="宋体"/>
        <w:sz w:val="28"/>
        <w:szCs w:val="28"/>
      </w:rPr>
    </w:pPr>
    <w:r w:rsidRPr="00113765">
      <w:rPr>
        <w:sz w:val="28"/>
      </w:rPr>
      <w:pict>
        <v:shapetype id="_x0000_t202" coordsize="21600,21600" o:spt="202" path="m,l,21600r21600,l21600,xe">
          <v:stroke joinstyle="miter"/>
          <v:path gradientshapeok="t" o:connecttype="rect"/>
        </v:shapetype>
        <v:shape id="_x0000_s3073" type="#_x0000_t202" style="position:absolute;left:0;text-align:left;margin-left:1560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113765">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113765">
                  <w:rPr>
                    <w:rFonts w:ascii="宋体" w:hAnsi="宋体" w:cs="宋体" w:hint="eastAsia"/>
                    <w:sz w:val="28"/>
                    <w:szCs w:val="28"/>
                  </w:rPr>
                  <w:fldChar w:fldCharType="separate"/>
                </w:r>
                <w:r w:rsidR="00143413">
                  <w:rPr>
                    <w:rFonts w:ascii="宋体" w:hAnsi="宋体" w:cs="宋体"/>
                    <w:noProof/>
                    <w:sz w:val="28"/>
                    <w:szCs w:val="28"/>
                  </w:rPr>
                  <w:t>2</w:t>
                </w:r>
                <w:r w:rsidR="00113765">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113765">
    <w:pPr>
      <w:tabs>
        <w:tab w:val="center" w:pos="4153"/>
        <w:tab w:val="right" w:pos="8306"/>
      </w:tabs>
      <w:rPr>
        <w:rFonts w:ascii="宋体" w:hAnsi="宋体" w:cs="宋体"/>
        <w:sz w:val="28"/>
        <w:szCs w:val="28"/>
      </w:rPr>
    </w:pPr>
    <w:r w:rsidRPr="00113765">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113765">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113765">
                  <w:rPr>
                    <w:rFonts w:ascii="宋体" w:hAnsi="宋体" w:cs="宋体" w:hint="eastAsia"/>
                    <w:sz w:val="28"/>
                    <w:szCs w:val="28"/>
                  </w:rPr>
                  <w:fldChar w:fldCharType="separate"/>
                </w:r>
                <w:r w:rsidR="0038091B">
                  <w:rPr>
                    <w:rFonts w:ascii="宋体" w:hAnsi="宋体" w:cs="宋体"/>
                    <w:noProof/>
                    <w:sz w:val="28"/>
                    <w:szCs w:val="28"/>
                  </w:rPr>
                  <w:t>1</w:t>
                </w:r>
                <w:r w:rsidR="00113765">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78C4" w:rsidRDefault="00CC78C4" w:rsidP="003B2256">
      <w:r>
        <w:separator/>
      </w:r>
    </w:p>
  </w:footnote>
  <w:footnote w:type="continuationSeparator" w:id="0">
    <w:p w:rsidR="00CC78C4" w:rsidRDefault="00CC78C4"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9698"/>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015376"/>
    <w:rsid w:val="00113765"/>
    <w:rsid w:val="00143413"/>
    <w:rsid w:val="001971C3"/>
    <w:rsid w:val="00231F90"/>
    <w:rsid w:val="00290080"/>
    <w:rsid w:val="00323D76"/>
    <w:rsid w:val="0032783B"/>
    <w:rsid w:val="0038091B"/>
    <w:rsid w:val="003B2256"/>
    <w:rsid w:val="003B7140"/>
    <w:rsid w:val="004064E8"/>
    <w:rsid w:val="00511EBC"/>
    <w:rsid w:val="00554EB8"/>
    <w:rsid w:val="0064282F"/>
    <w:rsid w:val="00690873"/>
    <w:rsid w:val="007630C3"/>
    <w:rsid w:val="00793835"/>
    <w:rsid w:val="007B0DAB"/>
    <w:rsid w:val="007B3675"/>
    <w:rsid w:val="00803A63"/>
    <w:rsid w:val="00872005"/>
    <w:rsid w:val="00933EE5"/>
    <w:rsid w:val="00976FB2"/>
    <w:rsid w:val="00984D89"/>
    <w:rsid w:val="009969A5"/>
    <w:rsid w:val="009E1211"/>
    <w:rsid w:val="00A4249B"/>
    <w:rsid w:val="00AE76E6"/>
    <w:rsid w:val="00AF6B7C"/>
    <w:rsid w:val="00B10D8A"/>
    <w:rsid w:val="00C678D2"/>
    <w:rsid w:val="00CC78C4"/>
    <w:rsid w:val="00CD567E"/>
    <w:rsid w:val="00CE7F49"/>
    <w:rsid w:val="00CF39F7"/>
    <w:rsid w:val="00D475BA"/>
    <w:rsid w:val="00D56E0F"/>
    <w:rsid w:val="00D619CC"/>
    <w:rsid w:val="00D771C4"/>
    <w:rsid w:val="00DC0C9F"/>
    <w:rsid w:val="00DD58FE"/>
    <w:rsid w:val="00EB35A9"/>
    <w:rsid w:val="00EE5579"/>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styleId="afa">
    <w:name w:val="Normal (Web)"/>
    <w:basedOn w:val="a"/>
    <w:uiPriority w:val="99"/>
    <w:unhideWhenUsed/>
    <w:rsid w:val="00AF6B7C"/>
    <w:pPr>
      <w:widowControl/>
      <w:spacing w:before="100" w:beforeAutospacing="1" w:after="100" w:afterAutospacing="1"/>
      <w:jc w:val="left"/>
    </w:pPr>
    <w:rPr>
      <w:rFonts w:ascii="宋体" w:hAnsi="宋体" w:cs="宋体"/>
      <w:kern w:val="0"/>
      <w:sz w:val="24"/>
    </w:rPr>
  </w:style>
  <w:style w:type="character" w:styleId="afb">
    <w:name w:val="Strong"/>
    <w:basedOn w:val="a0"/>
    <w:uiPriority w:val="22"/>
    <w:qFormat/>
    <w:rsid w:val="003B7140"/>
    <w:rPr>
      <w:b/>
      <w:bCs/>
    </w:rPr>
  </w:style>
</w:styles>
</file>

<file path=word/webSettings.xml><?xml version="1.0" encoding="utf-8"?>
<w:webSettings xmlns:r="http://schemas.openxmlformats.org/officeDocument/2006/relationships" xmlns:w="http://schemas.openxmlformats.org/wordprocessingml/2006/main">
  <w:divs>
    <w:div w:id="25757718">
      <w:bodyDiv w:val="1"/>
      <w:marLeft w:val="0"/>
      <w:marRight w:val="0"/>
      <w:marTop w:val="0"/>
      <w:marBottom w:val="0"/>
      <w:divBdr>
        <w:top w:val="none" w:sz="0" w:space="0" w:color="auto"/>
        <w:left w:val="none" w:sz="0" w:space="0" w:color="auto"/>
        <w:bottom w:val="none" w:sz="0" w:space="0" w:color="auto"/>
        <w:right w:val="none" w:sz="0" w:space="0" w:color="auto"/>
      </w:divBdr>
    </w:div>
    <w:div w:id="88822039">
      <w:bodyDiv w:val="1"/>
      <w:marLeft w:val="0"/>
      <w:marRight w:val="0"/>
      <w:marTop w:val="0"/>
      <w:marBottom w:val="0"/>
      <w:divBdr>
        <w:top w:val="none" w:sz="0" w:space="0" w:color="auto"/>
        <w:left w:val="none" w:sz="0" w:space="0" w:color="auto"/>
        <w:bottom w:val="none" w:sz="0" w:space="0" w:color="auto"/>
        <w:right w:val="none" w:sz="0" w:space="0" w:color="auto"/>
      </w:divBdr>
    </w:div>
    <w:div w:id="223755514">
      <w:bodyDiv w:val="1"/>
      <w:marLeft w:val="0"/>
      <w:marRight w:val="0"/>
      <w:marTop w:val="0"/>
      <w:marBottom w:val="0"/>
      <w:divBdr>
        <w:top w:val="none" w:sz="0" w:space="0" w:color="auto"/>
        <w:left w:val="none" w:sz="0" w:space="0" w:color="auto"/>
        <w:bottom w:val="none" w:sz="0" w:space="0" w:color="auto"/>
        <w:right w:val="none" w:sz="0" w:space="0" w:color="auto"/>
      </w:divBdr>
    </w:div>
    <w:div w:id="851919202">
      <w:bodyDiv w:val="1"/>
      <w:marLeft w:val="0"/>
      <w:marRight w:val="0"/>
      <w:marTop w:val="0"/>
      <w:marBottom w:val="0"/>
      <w:divBdr>
        <w:top w:val="none" w:sz="0" w:space="0" w:color="auto"/>
        <w:left w:val="none" w:sz="0" w:space="0" w:color="auto"/>
        <w:bottom w:val="none" w:sz="0" w:space="0" w:color="auto"/>
        <w:right w:val="none" w:sz="0" w:space="0" w:color="auto"/>
      </w:divBdr>
    </w:div>
    <w:div w:id="1398628081">
      <w:bodyDiv w:val="1"/>
      <w:marLeft w:val="0"/>
      <w:marRight w:val="0"/>
      <w:marTop w:val="0"/>
      <w:marBottom w:val="0"/>
      <w:divBdr>
        <w:top w:val="none" w:sz="0" w:space="0" w:color="auto"/>
        <w:left w:val="none" w:sz="0" w:space="0" w:color="auto"/>
        <w:bottom w:val="none" w:sz="0" w:space="0" w:color="auto"/>
        <w:right w:val="none" w:sz="0" w:space="0" w:color="auto"/>
      </w:divBdr>
    </w:div>
    <w:div w:id="14467731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36</TotalTime>
  <Pages>1</Pages>
  <Words>228</Words>
  <Characters>1301</Characters>
  <Application>Microsoft Office Word</Application>
  <DocSecurity>0</DocSecurity>
  <Lines>10</Lines>
  <Paragraphs>3</Paragraphs>
  <ScaleCrop>false</ScaleCrop>
  <Company>Newdaxie</Company>
  <LinksUpToDate>false</LinksUpToDate>
  <CharactersWithSpaces>1526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23</cp:revision>
  <dcterms:created xsi:type="dcterms:W3CDTF">2017-11-02T15:25:00Z</dcterms:created>
  <dcterms:modified xsi:type="dcterms:W3CDTF">2024-05-22T10:18:00Z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